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51" w:rsidRDefault="00C91B51" w:rsidP="00C91B51">
      <w:pPr>
        <w:jc w:val="both"/>
        <w:rPr>
          <w:b/>
          <w:bCs/>
        </w:rPr>
      </w:pPr>
      <w:bookmarkStart w:id="0" w:name="_GoBack"/>
      <w:bookmarkEnd w:id="0"/>
    </w:p>
    <w:p w:rsidR="00C91B51" w:rsidRPr="0032017A" w:rsidRDefault="00C91B51" w:rsidP="00C91B51">
      <w:pPr>
        <w:pStyle w:val="AralkYok"/>
        <w:jc w:val="center"/>
        <w:rPr>
          <w:sz w:val="32"/>
        </w:rPr>
      </w:pPr>
      <w:r w:rsidRPr="0032017A">
        <w:rPr>
          <w:sz w:val="32"/>
        </w:rPr>
        <w:t>T.C.</w:t>
      </w:r>
    </w:p>
    <w:p w:rsidR="00C91B51" w:rsidRPr="0032017A" w:rsidRDefault="00C91B51" w:rsidP="00C91B51">
      <w:pPr>
        <w:pStyle w:val="AralkYok"/>
        <w:jc w:val="center"/>
        <w:rPr>
          <w:sz w:val="32"/>
        </w:rPr>
      </w:pPr>
      <w:r w:rsidRPr="0032017A">
        <w:rPr>
          <w:sz w:val="32"/>
        </w:rPr>
        <w:t>SAĞLIK BAKANLIĞI</w:t>
      </w:r>
    </w:p>
    <w:p w:rsidR="00C91B51" w:rsidRPr="00C94E94" w:rsidRDefault="00C91B51" w:rsidP="00C91B51">
      <w:pPr>
        <w:pStyle w:val="AralkYok"/>
        <w:jc w:val="center"/>
        <w:rPr>
          <w:sz w:val="32"/>
        </w:rPr>
      </w:pPr>
      <w:r w:rsidRPr="0032017A">
        <w:rPr>
          <w:sz w:val="32"/>
        </w:rPr>
        <w:t>Tedavi Hizmetleri Genel Müdürlüğü</w:t>
      </w:r>
    </w:p>
    <w:p w:rsidR="00C91B51" w:rsidRDefault="00C91B51" w:rsidP="00C91B51">
      <w:pPr>
        <w:shd w:val="clear" w:color="auto" w:fill="FFFFFF"/>
        <w:spacing w:before="278" w:line="595" w:lineRule="exact"/>
        <w:ind w:left="106" w:firstLine="653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ind w:left="106" w:firstLine="653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ind w:left="106" w:firstLine="653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ind w:left="106" w:firstLine="653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jc w:val="both"/>
        <w:rPr>
          <w:b/>
          <w:bCs/>
          <w:sz w:val="52"/>
        </w:rPr>
      </w:pPr>
      <w:r>
        <w:rPr>
          <w:b/>
          <w:bCs/>
          <w:sz w:val="52"/>
        </w:rPr>
        <w:t xml:space="preserve">   </w:t>
      </w:r>
      <w:r w:rsidRPr="008B584D">
        <w:rPr>
          <w:b/>
          <w:bCs/>
          <w:sz w:val="52"/>
        </w:rPr>
        <w:t>TOTAL PARENTERAL</w:t>
      </w:r>
      <w:r>
        <w:rPr>
          <w:b/>
          <w:bCs/>
          <w:sz w:val="52"/>
        </w:rPr>
        <w:t xml:space="preserve"> NÜTRİSYON İÇİN                                                               </w:t>
      </w:r>
    </w:p>
    <w:p w:rsidR="00C91B51" w:rsidRDefault="00C91B51" w:rsidP="00C91B51">
      <w:pPr>
        <w:shd w:val="clear" w:color="auto" w:fill="FFFFFF"/>
        <w:spacing w:before="278" w:line="595" w:lineRule="exact"/>
        <w:jc w:val="both"/>
      </w:pPr>
      <w:r>
        <w:rPr>
          <w:b/>
          <w:bCs/>
          <w:sz w:val="52"/>
        </w:rPr>
        <w:t xml:space="preserve">     GÜVENLİ UYGULAMALAR REHBERİ</w:t>
      </w:r>
    </w:p>
    <w:p w:rsidR="00C91B51" w:rsidRDefault="00C91B51" w:rsidP="00C91B51">
      <w:pPr>
        <w:shd w:val="clear" w:color="auto" w:fill="FFFFFF"/>
        <w:spacing w:before="278" w:line="595" w:lineRule="exact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rPr>
          <w:sz w:val="28"/>
        </w:rPr>
      </w:pPr>
      <w:r w:rsidRPr="0032017A">
        <w:rPr>
          <w:sz w:val="28"/>
        </w:rPr>
        <w:t xml:space="preserve">    </w:t>
      </w:r>
    </w:p>
    <w:p w:rsidR="00C91B51" w:rsidRPr="0032017A" w:rsidRDefault="00C91B51" w:rsidP="00C91B51">
      <w:pPr>
        <w:shd w:val="clear" w:color="auto" w:fill="FFFFFF"/>
        <w:spacing w:before="178" w:line="322" w:lineRule="exact"/>
        <w:ind w:right="5"/>
        <w:jc w:val="center"/>
        <w:rPr>
          <w:sz w:val="28"/>
        </w:rPr>
      </w:pPr>
      <w:r>
        <w:rPr>
          <w:sz w:val="28"/>
        </w:rPr>
        <w:t xml:space="preserve"> 2010</w:t>
      </w: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1F397A" w:rsidRDefault="00C91B51" w:rsidP="00C91B51">
      <w:pPr>
        <w:shd w:val="clear" w:color="auto" w:fill="FFFFFF"/>
        <w:tabs>
          <w:tab w:val="center" w:pos="4700"/>
          <w:tab w:val="left" w:pos="5978"/>
        </w:tabs>
        <w:spacing w:before="178" w:line="322" w:lineRule="exact"/>
        <w:ind w:right="5"/>
        <w:rPr>
          <w:b/>
          <w:bCs/>
          <w:spacing w:val="-1"/>
          <w:sz w:val="24"/>
        </w:rPr>
      </w:pPr>
      <w:r>
        <w:rPr>
          <w:b/>
          <w:bCs/>
          <w:spacing w:val="-1"/>
          <w:sz w:val="24"/>
        </w:rPr>
        <w:tab/>
      </w:r>
    </w:p>
    <w:p w:rsidR="00C91B51" w:rsidRPr="001F397A" w:rsidRDefault="00C91B51" w:rsidP="00576452">
      <w:pPr>
        <w:shd w:val="clear" w:color="auto" w:fill="FFFFFF"/>
        <w:tabs>
          <w:tab w:val="center" w:pos="4700"/>
          <w:tab w:val="left" w:pos="5978"/>
        </w:tabs>
        <w:spacing w:before="178" w:after="240" w:line="360" w:lineRule="auto"/>
        <w:ind w:right="5"/>
        <w:rPr>
          <w:rFonts w:ascii="Times New Roman" w:hAnsi="Times New Roman" w:cs="Times New Roman"/>
          <w:b/>
          <w:bCs/>
          <w:spacing w:val="-1"/>
          <w:sz w:val="24"/>
        </w:rPr>
      </w:pPr>
      <w:r w:rsidRPr="001F397A">
        <w:rPr>
          <w:rFonts w:ascii="Times New Roman" w:hAnsi="Times New Roman" w:cs="Times New Roman"/>
          <w:b/>
          <w:bCs/>
          <w:spacing w:val="-1"/>
          <w:sz w:val="24"/>
        </w:rPr>
        <w:lastRenderedPageBreak/>
        <w:t>İÇİNDEKİLER</w:t>
      </w:r>
      <w:r w:rsidRPr="001F397A">
        <w:rPr>
          <w:rFonts w:ascii="Times New Roman" w:hAnsi="Times New Roman" w:cs="Times New Roman"/>
          <w:b/>
          <w:bCs/>
          <w:spacing w:val="-1"/>
          <w:sz w:val="24"/>
        </w:rPr>
        <w:tab/>
      </w:r>
    </w:p>
    <w:p w:rsidR="00C91B51" w:rsidRPr="001F397A" w:rsidRDefault="00C91B51" w:rsidP="00576452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</w:rPr>
      </w:pPr>
    </w:p>
    <w:p w:rsidR="007917E0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>1.GİRİŞ</w:t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57645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3-4</w:t>
      </w:r>
    </w:p>
    <w:p w:rsidR="00576452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Pr="007917E0">
        <w:rPr>
          <w:rFonts w:ascii="Times New Roman" w:hAnsi="Times New Roman" w:cs="Times New Roman"/>
          <w:sz w:val="24"/>
          <w:szCs w:val="24"/>
        </w:rPr>
        <w:t>BİRİNCİ BÖLÜM:</w:t>
      </w:r>
      <w:r w:rsidR="00576452">
        <w:rPr>
          <w:rFonts w:ascii="Times New Roman" w:hAnsi="Times New Roman" w:cs="Times New Roman"/>
          <w:sz w:val="24"/>
          <w:szCs w:val="24"/>
        </w:rPr>
        <w:t xml:space="preserve"> </w:t>
      </w:r>
      <w:r w:rsidRPr="007917E0">
        <w:rPr>
          <w:rFonts w:ascii="Times New Roman" w:hAnsi="Times New Roman" w:cs="Times New Roman"/>
          <w:sz w:val="24"/>
          <w:szCs w:val="24"/>
        </w:rPr>
        <w:t xml:space="preserve">DOLUM ÜNİTELERİ                                                </w:t>
      </w:r>
      <w:r w:rsidR="00576452">
        <w:rPr>
          <w:rFonts w:ascii="Times New Roman" w:hAnsi="Times New Roman" w:cs="Times New Roman"/>
          <w:sz w:val="24"/>
          <w:szCs w:val="24"/>
        </w:rPr>
        <w:t xml:space="preserve">                             5-7</w:t>
      </w:r>
      <w:r w:rsidRPr="00791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>3.</w:t>
      </w:r>
      <w:r w:rsidRPr="007917E0">
        <w:rPr>
          <w:rFonts w:ascii="Times New Roman" w:hAnsi="Times New Roman" w:cs="Times New Roman"/>
          <w:bCs/>
          <w:spacing w:val="-7"/>
          <w:sz w:val="24"/>
          <w:szCs w:val="24"/>
        </w:rPr>
        <w:t>İKİNCİ BÖLÜM:</w:t>
      </w:r>
      <w:r w:rsidR="0057645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917E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DEPOLAMA, SAKLAMA </w:t>
      </w:r>
      <w:r w:rsidR="00576452" w:rsidRPr="007917E0">
        <w:rPr>
          <w:rFonts w:ascii="Times New Roman" w:hAnsi="Times New Roman" w:cs="Times New Roman"/>
          <w:bCs/>
          <w:spacing w:val="-7"/>
          <w:sz w:val="24"/>
          <w:szCs w:val="24"/>
        </w:rPr>
        <w:t>ve</w:t>
      </w:r>
      <w:r w:rsidRPr="007917E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TAŞIMA                                               </w:t>
      </w:r>
      <w:r w:rsidR="00475AB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</w:t>
      </w:r>
      <w:r w:rsidR="00576452">
        <w:rPr>
          <w:rFonts w:ascii="Times New Roman" w:hAnsi="Times New Roman" w:cs="Times New Roman"/>
          <w:bCs/>
          <w:spacing w:val="-7"/>
          <w:sz w:val="24"/>
          <w:szCs w:val="24"/>
        </w:rPr>
        <w:t>7-8</w:t>
      </w:r>
    </w:p>
    <w:p w:rsidR="00C91B51" w:rsidRPr="007917E0" w:rsidRDefault="001F397A" w:rsidP="00576452">
      <w:pPr>
        <w:shd w:val="clear" w:color="auto" w:fill="FFFFFF"/>
        <w:tabs>
          <w:tab w:val="left" w:pos="9356"/>
        </w:tabs>
        <w:spacing w:after="240" w:line="360" w:lineRule="auto"/>
        <w:ind w:right="-9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917E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</w:t>
      </w:r>
      <w:r w:rsidR="00C91B51" w:rsidRPr="007917E0">
        <w:rPr>
          <w:rFonts w:ascii="Times New Roman" w:hAnsi="Times New Roman" w:cs="Times New Roman"/>
          <w:bCs/>
          <w:spacing w:val="-7"/>
          <w:sz w:val="24"/>
          <w:szCs w:val="24"/>
        </w:rPr>
        <w:t>4.ÜÇÜNCÜ BÖLÜM:</w:t>
      </w:r>
      <w:r w:rsidR="0057645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C91B51" w:rsidRPr="007917E0">
        <w:rPr>
          <w:rFonts w:ascii="Times New Roman" w:hAnsi="Times New Roman" w:cs="Times New Roman"/>
          <w:bCs/>
          <w:spacing w:val="-2"/>
          <w:sz w:val="24"/>
          <w:szCs w:val="24"/>
        </w:rPr>
        <w:t>PN UYGULAMASI</w:t>
      </w:r>
      <w:r w:rsidR="00576452">
        <w:rPr>
          <w:rFonts w:ascii="Times New Roman" w:hAnsi="Times New Roman" w:cs="Times New Roman"/>
          <w:bCs/>
          <w:spacing w:val="-2"/>
          <w:sz w:val="24"/>
          <w:szCs w:val="24"/>
        </w:rPr>
        <w:t>NA YÖNELİK ÖNERİLER</w:t>
      </w:r>
      <w:r w:rsidR="00C91B51" w:rsidRPr="00791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</w:t>
      </w:r>
      <w:r w:rsidR="008F05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8</w:t>
      </w:r>
      <w:r w:rsidR="00C91B51" w:rsidRPr="00791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</w:t>
      </w:r>
      <w:r w:rsidR="005764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</w:t>
      </w:r>
      <w:r w:rsidR="00C91B51" w:rsidRPr="00791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>5.DÖRDÜNCÜ BÖLÜM:</w:t>
      </w:r>
      <w:r w:rsidR="00576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17E0">
        <w:rPr>
          <w:rFonts w:ascii="Times New Roman" w:hAnsi="Times New Roman" w:cs="Times New Roman"/>
          <w:bCs/>
          <w:sz w:val="24"/>
          <w:szCs w:val="24"/>
        </w:rPr>
        <w:t>TESLİM ALINAN PN TORBALARININ SERVİS/ÜNİTEDE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 xml:space="preserve">SAKLANMASI                                                                                              </w:t>
      </w:r>
      <w:r w:rsidR="008F05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8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 xml:space="preserve">6. BEŞİNCİ BÖLÜM: PN İLE İLAÇ ETKİLEŞİMİ                                   </w:t>
      </w:r>
      <w:r w:rsidR="00576452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577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1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5D8">
        <w:rPr>
          <w:rFonts w:ascii="Times New Roman" w:hAnsi="Times New Roman" w:cs="Times New Roman"/>
          <w:bCs/>
          <w:sz w:val="24"/>
          <w:szCs w:val="24"/>
        </w:rPr>
        <w:t xml:space="preserve">    9</w:t>
      </w:r>
      <w:r w:rsidRPr="007917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1B51" w:rsidRPr="007917E0" w:rsidRDefault="00576452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7.ALTINCI BÖLÜM</w:t>
      </w:r>
      <w:r w:rsidR="00C91B51" w:rsidRPr="007917E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B51" w:rsidRPr="007917E0">
        <w:rPr>
          <w:rFonts w:ascii="Times New Roman" w:hAnsi="Times New Roman" w:cs="Times New Roman"/>
          <w:bCs/>
          <w:sz w:val="24"/>
          <w:szCs w:val="24"/>
        </w:rPr>
        <w:t>PN’</w:t>
      </w:r>
      <w:r w:rsidRPr="007917E0">
        <w:rPr>
          <w:rFonts w:ascii="Times New Roman" w:hAnsi="Times New Roman" w:cs="Times New Roman"/>
          <w:bCs/>
          <w:sz w:val="24"/>
          <w:szCs w:val="24"/>
        </w:rPr>
        <w:t>DA</w:t>
      </w:r>
      <w:r w:rsidR="00C91B51" w:rsidRPr="007917E0">
        <w:rPr>
          <w:rFonts w:ascii="Times New Roman" w:hAnsi="Times New Roman" w:cs="Times New Roman"/>
          <w:bCs/>
          <w:sz w:val="24"/>
          <w:szCs w:val="24"/>
        </w:rPr>
        <w:t xml:space="preserve"> KULLANILAN TIBBİ MALZEMELER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F05D8">
        <w:rPr>
          <w:rFonts w:ascii="Times New Roman" w:hAnsi="Times New Roman" w:cs="Times New Roman"/>
          <w:bCs/>
          <w:sz w:val="24"/>
          <w:szCs w:val="24"/>
        </w:rPr>
        <w:t xml:space="preserve">  9-10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>8.</w:t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YEDİNCİ BÖLÜM: STABİLİTE ve GEÇİMLİLİK                                  </w:t>
      </w:r>
      <w:r w:rsidR="0057645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1</w:t>
      </w:r>
      <w:r w:rsidR="008F05D8">
        <w:rPr>
          <w:rFonts w:ascii="Times New Roman" w:hAnsi="Times New Roman" w:cs="Times New Roman"/>
          <w:bCs/>
          <w:spacing w:val="-1"/>
          <w:sz w:val="24"/>
          <w:szCs w:val="24"/>
        </w:rPr>
        <w:t>0-11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  <w:sectPr w:rsidR="00C91B51" w:rsidRPr="007917E0">
          <w:footerReference w:type="default" r:id="rId9"/>
          <w:pgSz w:w="12240" w:h="15840"/>
          <w:pgMar w:top="1417" w:right="1417" w:bottom="1417" w:left="1417" w:header="708" w:footer="708" w:gutter="0"/>
          <w:pgNumType w:start="1"/>
          <w:cols w:space="708"/>
        </w:sectPr>
      </w:pPr>
      <w:r w:rsidRPr="007917E0">
        <w:rPr>
          <w:rFonts w:ascii="Times New Roman" w:hAnsi="Times New Roman" w:cs="Times New Roman"/>
          <w:bCs/>
          <w:sz w:val="24"/>
          <w:szCs w:val="24"/>
        </w:rPr>
        <w:t>9.</w:t>
      </w:r>
      <w:r w:rsidR="008F05D8">
        <w:rPr>
          <w:rFonts w:ascii="Times New Roman" w:hAnsi="Times New Roman" w:cs="Times New Roman"/>
          <w:bCs/>
          <w:sz w:val="24"/>
          <w:szCs w:val="24"/>
        </w:rPr>
        <w:t>KAYNAKLAR</w:t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  <w:t xml:space="preserve">           12</w:t>
      </w:r>
    </w:p>
    <w:p w:rsidR="00C91B51" w:rsidRPr="001F397A" w:rsidRDefault="00C91B51" w:rsidP="00C9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GİRİŞ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Malnütrisyonlu veya nütrisyon riski taşıyan hastalarda nütrisyon desteği (ND) gerekir. ND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iki temel yolla (enteral – parenteral) veya bunların kombinasyonu şeklinde verilebilir.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astrointestinal yolun kullanılamadığı durumlarda parenteral nütrisyon (PN) gerekir. PN besin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3A9">
        <w:rPr>
          <w:rFonts w:ascii="Times New Roman" w:hAnsi="Times New Roman" w:cs="Times New Roman"/>
          <w:color w:val="000000"/>
          <w:sz w:val="24"/>
          <w:szCs w:val="24"/>
        </w:rPr>
        <w:t>öğ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elerinin doğrudan kan dolaşımına verilmesidir. PN ihtiyaç olan tüm besin ögelerini içerebilir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8D2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Total Paren</w:t>
      </w:r>
      <w:r w:rsidR="003848D2">
        <w:rPr>
          <w:rFonts w:ascii="Times New Roman" w:hAnsi="Times New Roman" w:cs="Times New Roman"/>
          <w:color w:val="000000"/>
          <w:sz w:val="24"/>
          <w:szCs w:val="24"/>
        </w:rPr>
        <w:t>teral Nütrisyon (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TPN) veya enteral nütrisyonla (EN) birlikte kullanılabilir.</w:t>
      </w:r>
    </w:p>
    <w:p w:rsidR="001F397A" w:rsidRDefault="001F397A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ile beslenecek hastalarda, uygulamadan hemen önce karıştırılarak hazır hale getirilen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ticari ürünler kullanılabildiği gibi, dolum cihazı (compounder) yoluyla hastaya özel olarak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hazırlanmış tek torba karışımları da uygulanabilir. Eski yıllarda kullanılan “çok şişeli PN”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uygulaması sakıncaları nedeniyle terk</w:t>
      </w:r>
      <w:r w:rsidR="00CC2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edilmiştir. Güvenli bir PN sistemi, prosedürün gerektirdiği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kaynakları en aza indirmeli ve hastaların tüm gereksinimlerini karşılayabilmelidir.</w:t>
      </w:r>
    </w:p>
    <w:p w:rsidR="001F397A" w:rsidRPr="00C91B51" w:rsidRDefault="001F397A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uygulanacak hastalarda, hazır ticari ürünlerin veya dolum ünitesinde hazırlanan tek</w:t>
      </w: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torba karışımların kullanılması merkezin şartlarına ve ekonomik göstergelere bağlı olarak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değerlendirilmelidir. Bu, kurumdaki eğitilmiş çalışanları da içeren tüm elverişli kaynaklar ile</w:t>
      </w:r>
      <w:r w:rsidR="00384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birlikte PN alan hastaların sayısı ve hastalık türüne göre farklılık gösterecektir.</w:t>
      </w:r>
    </w:p>
    <w:p w:rsidR="001F397A" w:rsidRPr="00C91B51" w:rsidRDefault="001F397A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iki yöntemle uygulanır. Tedavi 7 - 10 günden kısa sürecek ise, osmolaritesi uygun</w:t>
      </w:r>
    </w:p>
    <w:p w:rsidR="00C91B51" w:rsidRPr="00C91B51" w:rsidRDefault="001F397A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olmak kaydıyla (&lt;900 mOsml/L), periferik damar yoluyla PN yapılabilir. Daha uzun süreli</w:t>
      </w:r>
    </w:p>
    <w:p w:rsidR="00C91B51" w:rsidRPr="00C91B51" w:rsidRDefault="001F397A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tedavilerde santral venöz yol kullanılır. PN uygulanacak venin uygun seçimi PN'nun süresi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hastanın besin gereksinimlerinin özellikleri ile yakından ilgilidir. PN solüsyonları hastalara 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periferik bir venden (periferik PN=PPN) veya santral venöz yoldan (santral PN) verilir.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Damaryoluna daha kolay ve güvenli erişim, santral venöz kateterizasyonun yerleştirilmesi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ve idamesindeki teknik ve infeksiyöz komplikasyonlardan kaçınılabilmesi gibi avantajları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nedeniyle PPN giderek daha popüler hale gelmektedir. Periferik damarlara yapılan infüzyonlarda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başlıca belirleyici faktörler ozmolarite, solüsyonun pH’sı, infüzyon hızı, kateter yapısı ve kateter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çapıdır.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Santral venöz yol, besin ögelerinin doğrudan vena kava süperior veya sağ atriyuma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lastRenderedPageBreak/>
        <w:t>verilmesini sağlar. PN’da verilen solüsyonun osmolaritesi 800-900 mOsm/L’nin üzerinde ise ve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nütrisyon tedavisi 7-10 günden uzun süre uygulanacaksa santral ven yolunun seçilmesi önerilir.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Kateterin ucu ideal olarak vena kava süperiorun 1/3 alt bölümünde, atrio-kaval bileşkede veya sağ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atriumun üst kısmında olmalıdır.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solüsyonları üretim veya uygulama aşamasında steril şartlara uyulmaz ise bakteri ve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mantar üremesi açısından elverişli sıvılardır ve belirli oranlarda komplikasyon ve mortaliteye neden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olabilirler. Bu nedenle PN torbaları eğitimli personel tarafından hazırlanmalı ve saklanmalı, aseptik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teknik uygulamaları denetlenmeli ve infeksiyon kontrol rehberleri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nin önerileri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 uygulanmalıdır. Bunu sağlamak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amacıyla, tüm klinisyenlere ND ile ilgili temel eğitim verilmeli, kılavuzlara uygun çalışılması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sağlanmalı, merkezlerin büyüklük, hasta profili ve yapısına göre nütrisyon destek ekipleri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kurulmalıdır. Bu ekipler genellikle özel olarak eğitilmiş hekimleri, hemşireleri, eczacıları ve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diyetisyenleri içerir. Nütrisyon destek ekiplerinin faaliyette bulunmasının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 uygun olmayan PN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formüllerinin reçet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e edilme sayısını düşürdüğüne, i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nfeksiyonların getireceği maliyeti ve metabolik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komplikasyonları azalttığına, daha doğru nütrisyon modelinin seçimini sağladığına ilişkin kanıtlar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bulunmaktadır.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torbalarını, dolum ünitelerinde kendileri hazırlayan merkezlerin, deneyimli klinik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eczacıları nütrisyon destek ekiplerine dahil etmeleri ve tüm dolum işlemler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i için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 özel dizayn edilmiş,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laminar hava akımlı temiz odalar oluşturması gerekir. Dolum ünitelerinde hazırlanan tüm torbalar,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dozları, uyumlulukları ve geçimlilikleri (majistral ilaç uygulamaları kapsamına girdiği için)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yönünden mutlaka bir eczacı tarafından değerlendirilmelidir.</w:t>
      </w: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PARENTERAL NÜTRİSYON İÇİN GÜVENLİ UYGULAMALARA YÖNELİK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ÖNERİLER</w:t>
      </w: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BİRİNCİ BÖLÜM: DOLUM ÜNİTELERİ</w:t>
      </w:r>
    </w:p>
    <w:p w:rsidR="001F397A" w:rsidRPr="00C91B51" w:rsidRDefault="001F397A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Hazırlama Bölümünün Özellikleri: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Kontaminasyonu önlemek için PN solüsyonları, EudraLex Volum-4/Annex-l (Avrupa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Birliği Steril Tıbbi Ürünlerin üretim Kuralları) ve ISO 14644-1 de yer aldığı şekilde,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havasındaki partikül konsantrasyonu kontrol edilebilen, partiküllerin oda içine girişi ve odada bulunmasını minimale indirecek şekilde yapılmış; ayrıca gereğinde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nem, ısı, basınç gibi diğer parametrelerin de ayarlanabildiği temiz odalarda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hazırlama odaları asgari Class C hava sınıflamasına, PN hazırlama ve doldurma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kabinleri ise laminar hava (Laminar Air Flow) altında Class A sınıflamasına sahip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Havalandırma ve iklimlendirme (H.V.A.C.) sistemi kapsamında bulunan filtreler (torba,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panel</w:t>
      </w:r>
      <w:r w:rsidR="00800BC2">
        <w:rPr>
          <w:rFonts w:ascii="Times New Roman" w:hAnsi="Times New Roman" w:cs="Times New Roman"/>
          <w:color w:val="000000"/>
          <w:sz w:val="24"/>
          <w:szCs w:val="24"/>
        </w:rPr>
        <w:t>, HEP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A) düzenli aralıklarla kontrol 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H.V.A.C. sistemlerinin kurulum, teslim alınma ve kullanımları süresince validasyonu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yapı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larak sistemin doğruluk, güvenilir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lik ve tekrarlanabilirliğinin kanıtlanması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sağlanmalıdır.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H.V.A.C. validasyonu, hazırlanacak bir plan doğrultusunda yapılması gereken D.Q.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(Design), I.Q. (lnstallation), O.Q. (Operation), P.Q. (Performance Qualification)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çalışmalarını kapsamalıdır.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H.V.A.C. sistemi validasyon çalışmalarından sonra düzenli olarak, sistemin fiziksel ve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mikrobiyolojik kontrolleri yapılarak performans kalitesinin yeterliliği izlenmelidir. Bu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kapsamda yapılacak kontrollerde periyodik olarak, HEPA filtre sızdırmazlık testi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(D.O.P.test), hava hızı, hava değişim sayısı, hava akış yönü (smoke test), yeniden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temizlenme zamanı (recovery time), partikül sayımı (at rest - in operation), oda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sınıflaması, basınç farkları, sıcaklık, nem parametreleri izlenmelidir.</w:t>
      </w:r>
    </w:p>
    <w:p w:rsidR="00C91B51" w:rsidRPr="00C91B51" w:rsidRDefault="00C91B51" w:rsidP="001C49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Validasyon tercihen akredite bağımsız bir firma tarafından yapılmalıdır.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PN solüsyonları eczacıların denetim ve sorumluluğunda hazırlanmalıdır.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Personel girişi için air-lock (hava kilidi) ve malzeme geçişi için HEPA filtreli materyal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“pass box” bölümlerini içermelidir.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1.10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Hazırlama bölümünde alkol bazlı bir el antiseptiği bulundurulmalıdır.</w:t>
      </w:r>
    </w:p>
    <w:p w:rsidR="00C91B51" w:rsidRPr="00C91B51" w:rsidRDefault="001C4942" w:rsidP="00540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1.11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Hazırlama bölümünde hazırlama ve depolama ile ilgili kurallar yazılı olarak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bulundurulmalıdır.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1.12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Hazırlama alanına gereksiz giriş ve çıkışlar engellenmelidir.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1.13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Hazırlama alanında yemek yenmemeli, içecek ve sigara içilmemelidir.</w:t>
      </w:r>
    </w:p>
    <w:p w:rsidR="00C91B51" w:rsidRPr="00D707AA" w:rsidRDefault="001C4942" w:rsidP="00D70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1.14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Temiz odanın klima sistemi asla tümüyle kapatılmamalıdır. Temiz odada işlem yapılmayan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zamanlarda bile yavaşlatılmış olarak çalıştırılmalıdır.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Dolum Cihazının Bakımı: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Bir önceki günden kalan ve kullanılmış tüm solüsyonlar ve transfer setleri atılmalıdır. Setler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günlük değiştirilmeli, kontamine olursa anında değiştirilmelidir.</w:t>
      </w:r>
    </w:p>
    <w:p w:rsidR="00C91B51" w:rsidRPr="00C91B51" w:rsidRDefault="00C91B51" w:rsidP="00540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Otomatik karıştırıcı uygun antiseptik solüsyonlarla kapsamlı bir şekilde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temizlenmelidir.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Dolum cihazı talimatlara göre kalibre 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Otomatik dolum cihazlarının çalışmasının verimli olmasını sağlamak için PN ürünlerini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üreten firmalardan ürünleri ile ilgili bilgi alınmalı ve önerilere uyulmalıdır.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Günlük kayıtlara uygun veriler kaydedilmeli ve imzalanmalıdır.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Hazırlama Bölümünde Dolumun Yapılması: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Kayıt tutulması işlemleri hazırlama alanı dışında yapılmalıdır.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torbaları günlük olarak hazırlanmalıdır.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Solüsyonların ambalajlarından çıkarılması gibi partikül oluşturabilecek işlemler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hazırlama alanı dışında yapılmalıdır.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Tek kullanımlık olan PN torbası ve setleri ikinci kez kullanılmamalıdır.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Hazırlanan torba üzerine yapıştırılan etikete tarih, saat, hasta ismi, PN içeriği mutlaka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yazılmalıdır.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Şüpheli durumlar tespit edildiğinde, torba klipsi kapatılmalı ve dolum sonrası mikrobiyolojik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kültür alınmalıdır. Mikrobiyolojik kültür örnekleri kültür çizelgelerine kayıt edilmelidir.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Torbalarda problem olduğunda (delinme, içerikle ilgili karışıklık v.b.) derhal işlem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durdurulmalı ve işlem basamakları yeniden kontrol edilerek tekrar dolum yapılmalıdır.</w:t>
      </w:r>
    </w:p>
    <w:p w:rsidR="005405E9" w:rsidRDefault="005405E9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5E9" w:rsidRDefault="005405E9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5E9" w:rsidRDefault="005405E9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Hazırlama Bölümünün Temizliği: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Temizlik ve dezenfeksiyon işlemi temizden kirliye doğru yapılmalıdır. Sırasıyla önce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kabinin tavanı, iç yan yüzeyleri, arka yüzeyleri, masa üstü ve alt kısmı temizlenmelidir. Bu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işlem her gün bir kez tekrarlanmalıdır.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Kabin içi temizlik kabinin özelliğine uygun dezenfektan ile yapılmalıdır.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Kabin her kullanımdan sonra temizlenmelidir. Temizlik odada PN doldurulmadığı dönemde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yapılmalıdır.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Hazırlama ünitesinin temizliği her gün sabah yapılmalıdır. Gün içerisinde yer yüzeylerinde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kirlenme olduğunda işlem tekrarlanmalıdır.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Laminar hava akım başlıklarının filtreleri üretici firma önerileri doğrultusunda, partikül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sayım sonuçları dikkate alınarak uygun aralıklarla değiştirilmelidir.</w:t>
      </w:r>
    </w:p>
    <w:p w:rsidR="00C91B51" w:rsidRPr="00C91B51" w:rsidRDefault="00C91B51" w:rsidP="00540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>Temiz alana girecek tüm malzemelerin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 (cam,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metal,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PVC torbalar gibi) yüzeyi alana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alınmadan önce temizlenmelidir.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Hazırlama Bölümünde Görevlendirilen Personel ile ilgili Öneriler: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Görevliler aseptik teknikler hakkında eğitilmelidir. Personelin, temel uygulamalar, antisepsi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tekniği, laminar hava akımının kullanılması, el yıkama ve çalışma alanının temizliği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hakkında yetkinliği sağlanmalıdır.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Hazırlama ile ilgili personel odaya girmeden önce tüm el, parmak ve bilek takı ve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mücevherlerini çıkarmalıdır.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</w:t>
      </w:r>
      <w:r w:rsidR="00C151A4">
        <w:rPr>
          <w:rFonts w:ascii="Times New Roman" w:hAnsi="Times New Roman" w:cs="Times New Roman"/>
          <w:color w:val="000000"/>
          <w:sz w:val="24"/>
          <w:szCs w:val="24"/>
        </w:rPr>
        <w:t>ma alanına girmeden önce el hijyeni sağlanmalı,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tampon bölgede önlük ve eldiven giyilmeli, maske ve saçları tamamen kapatan bone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takılmalı ve galoş giyilmelidir.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Aktif infeksiyonu olan görevliler hazırlama biriminde çalıştırılmamalıdır.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Ellerinde kızarıklık, çatlak veya açık yara olan personel PN hazırlama bölümünde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çalıştırılmamalıdır.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İKİNCİ BÖLÜM: DEPOLAMA, SAKLAMA VE TAŞIMA İÇİN ÖNERİLER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Depolama ve saklama: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hazırlanmasında ve uygulanmasında kullanılan solüsyon, ilaç, araç-gereç ve ekipmanlar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üretici önerisine göre depolanmalıdır.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Soğutucuların sıcaklıkları monitörize 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İlaç ve malzemeler yerden yüksek raflarda saklanmalıdır.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Kullanım öncesi her ürünün kutusu hasar ve son kullanım süresi açısından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incelenmelidir.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="00C1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Son kullanma tarihi geçen ilaçlar ve malzemeler aktif depolama alanlarından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kaldırılmalıdır.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Taşıma: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="00C1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Hazırlama bölümünde dolumu tamamlanan PN solüsyonları kapaklı ve kilitli arabalara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yerleştirilerek kliniklere gönderilmelidir.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Hazırlanan torbalar imza karşılığında teslim edilmelidir.</w:t>
      </w: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ÜÇÜNCÜ BÖLÜM: PN UYGULANMASINA YÖNELİK ÖNERİLER</w:t>
      </w:r>
    </w:p>
    <w:p w:rsidR="00C151A4" w:rsidRDefault="00C151A4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3C043C" w:rsidRDefault="00C91B51" w:rsidP="003C043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Venöz Yolun Seçilmesi, Bakımı Ve Değerlendirilmesi:</w:t>
      </w:r>
    </w:p>
    <w:p w:rsidR="003C043C" w:rsidRPr="00A446E1" w:rsidRDefault="00D2716F" w:rsidP="00A446E1">
      <w:pPr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17.03.2006 tarih ve 5177 (</w:t>
      </w:r>
      <w:r w:rsidR="009C500A">
        <w:rPr>
          <w:rFonts w:ascii="Times New Roman" w:hAnsi="Times New Roman" w:cs="Times New Roman"/>
          <w:bCs/>
          <w:color w:val="000000"/>
          <w:sz w:val="24"/>
          <w:szCs w:val="24"/>
        </w:rPr>
        <w:t>2006/35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sayılı Genelge Ek’inde yer alan ve</w:t>
      </w:r>
      <w:r w:rsidR="009C50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Hastane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İ</w:t>
      </w:r>
      <w:r w:rsidR="009C500A">
        <w:rPr>
          <w:rFonts w:ascii="Times New Roman" w:hAnsi="Times New Roman" w:cs="Times New Roman"/>
          <w:bCs/>
          <w:color w:val="000000"/>
          <w:sz w:val="24"/>
          <w:szCs w:val="24"/>
        </w:rPr>
        <w:t>nfeksiyonları Bilimsel Danışma Kurulu tarafından rehber olarak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kullanılabileceği belirtilen </w:t>
      </w:r>
      <w:r w:rsidR="003C043C" w:rsidRPr="00A446E1">
        <w:rPr>
          <w:rFonts w:ascii="Times New Roman" w:hAnsi="Times New Roman" w:cs="Times New Roman"/>
          <w:bCs/>
          <w:color w:val="000000"/>
          <w:sz w:val="24"/>
          <w:szCs w:val="24"/>
        </w:rPr>
        <w:t>Damar İçi Kateter İnfeksiyonlarının Önlenmesi Klavuzuna uygun venöz yolun</w:t>
      </w:r>
      <w:r w:rsidR="00A44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043C" w:rsidRPr="00A446E1">
        <w:rPr>
          <w:rFonts w:ascii="Times New Roman" w:hAnsi="Times New Roman" w:cs="Times New Roman"/>
          <w:bCs/>
          <w:color w:val="000000"/>
          <w:sz w:val="24"/>
          <w:szCs w:val="24"/>
        </w:rPr>
        <w:t>bakımı</w:t>
      </w:r>
      <w:r w:rsidR="00A44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043C" w:rsidRPr="00A446E1">
        <w:rPr>
          <w:rFonts w:ascii="Times New Roman" w:hAnsi="Times New Roman" w:cs="Times New Roman"/>
          <w:bCs/>
          <w:color w:val="000000"/>
          <w:sz w:val="24"/>
          <w:szCs w:val="24"/>
        </w:rPr>
        <w:t>sağlanmalıdır</w:t>
      </w:r>
      <w:r w:rsidR="003C043C" w:rsidRPr="00A446E1">
        <w:t xml:space="preserve"> (</w:t>
      </w:r>
      <w:r w:rsidR="003C043C" w:rsidRPr="00A446E1">
        <w:rPr>
          <w:rFonts w:ascii="Times New Roman" w:hAnsi="Times New Roman" w:cs="Times New Roman"/>
          <w:bCs/>
          <w:color w:val="000000"/>
          <w:sz w:val="24"/>
          <w:szCs w:val="24"/>
        </w:rPr>
        <w:t>http://hastaneenfeksiyonlari.rshm.gov.tr/images/referanslar/010.pdf)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Hastanın İzlenmesi: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alan tüm hastalar sıvı elektrolit dengesizlikleri, kan glukoz düzeyi ve SVK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infeksiyonunun belirti ve bulguları yönünden düzenli aralıklarla izlenmelidir. Ayrıca, tam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kan sayımı yapılmalı, üre, krea</w:t>
      </w: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inin, prealbumin (7-10 gün ara ile), albumin düzeyleri,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infeks</w:t>
      </w: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yon parametreleri, karaciğer fonksiyon testleri, kan lipid profili de takip 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alan hastalar en az haftada bir kez tartılmalıdır.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alan hastalar yan etkiler, komplikasyonlar ve gelişebilecek alerjik reaksiyonlar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yönünden yakından izlenmelidir.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İnfüzyon pompası, basıncı, infüzyon hızı ve verilen sıvı hacmi saatlik olarak izlenmeli ve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kaydedilmelidir.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Tüm bağlantı yerleri ve infüzyon seti saatlik olarak, bükülme ve sızıntı yönünden kontrol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Hastanın aldığı-çıkardığı sıvı takibi yapılmalı ve kaydedilmelidir.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Yaşam bulguları (vücut sıcaklığı, nabız, solunum hızı, kan basıncı) düzenli aralıklarla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ölçülmeli ve kaydedilmelidir.</w:t>
      </w:r>
    </w:p>
    <w:p w:rsidR="00BC3877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DÖRDÜNCÜ BÖLÜM: 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TESLİM ALINAN PN TORBALARININ SERVİS/ÜNİTEDE</w:t>
      </w:r>
      <w:r w:rsidR="00BC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SAKLANMASI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Servise gelen PN torbaları imza ile teslim alınmalıdır.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PN torbaları, asepsisi bozulmadığı sürece, buzdolabı rafında artı </w:t>
      </w:r>
      <w:r w:rsidR="00EA6721" w:rsidRPr="00C83305">
        <w:rPr>
          <w:rFonts w:ascii="Times New Roman" w:eastAsia="Calibri" w:hAnsi="Times New Roman" w:cs="Times New Roman"/>
          <w:sz w:val="24"/>
          <w:szCs w:val="24"/>
        </w:rPr>
        <w:t>4</w:t>
      </w:r>
      <w:r w:rsidR="00EA6721" w:rsidRPr="00C83305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="00EA6721" w:rsidRPr="00C83305">
        <w:rPr>
          <w:rFonts w:ascii="Times New Roman" w:eastAsia="Calibri" w:hAnsi="Times New Roman" w:cs="Times New Roman"/>
          <w:sz w:val="24"/>
          <w:szCs w:val="24"/>
        </w:rPr>
        <w:t xml:space="preserve">C’de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altı gün saklanabilir.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Mikrobiyolojik kontrol yapılamayan durumlarda torbalar oda sıcaklığında 24 saatten daha uzun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süre saklanmamalıdır (Hazır ticari ürünlerde üretici firma önerilerine göre saklama koşulları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değişiklik gösterebilir).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torbasına herhangi bir girişim yapıldığında torbanın saklanma ömrü oda sıcaklığında 24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saattir.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torbasına serum seti takılmış ise veya torbaya 24 saat içinde çökecek ilaç (eser element,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fosfor vb.) eklenmiş ise torba 24 saat içerisinde kullanılmalıdır.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 ticari ürünler açıldıktan sonra 24 saat içinde kullanılmalıdır.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BEŞİNCİ BÖLÜM: PN İLE İLAÇ ETKİLEŞİMİ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PN'un kompleks yapısı ve ilaç, besin ögesi etkileşiminin potansiyel riski nedeni ile PN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torbalarına ilaç katılmamalıdır.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ile birlikte ilaç verilmesi kaçınılmaz ise, ilacın PN ile uyumluluğu ve geçimliliğinden emin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olunmalıdır.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Verilecek ilacın geçimliliği ile ilgili hiçbir bilgi yoksa, kesinlikle ayrı damar yolundan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verilmelidir.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Geçimlilik ile ilgili bilgiler kullanılan ilacın konsantrasyonu dikkate alınarak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değerlendirilmelidir.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PN'a vitaminler ve eser elementler eklenirken çökelme ve parçalanmayı engellemek için önce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fosfor ve arkasından kalsiyum eklenmelidir. Eser elementler ve fosfat eklendiğinde torba 24 saat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içinde kullanılmalıdır.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Etkinliği azalacağı için PN'ye insülin eklenmemelidir.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Servis ortamında PN torbasına ilaç eklenmemelidir.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Zorunluluk olduğunda PN torbasına bir ilaç eklerken aşağıdaki durumlar göz önünde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tutulmalıdır;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formülasyonunun emülsiyon karakterinin değişebileceği,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İlacın, torba materyali (EVA, PVC, polyolefin gibi) ile reaksiyona girebileceği,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Bazı besin ögelerinin reaksiyonu (oksidasyon gibi) ile ilacın aktivitesini kaybedebileceği,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Bileşenlerle reaksiyona girmesi (çökelti, radikal oluşumu gibi) sonucu toksisiteye neden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olabileceği.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ALTINCI BÖLÜM : PN’da KULLANILAN TIBBİ MALZEMELER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Filtreler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solüsyonlarına yapılan eklemeler PN solüsyonunda partiküller oluşturabilir. Beş mikron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ve daha büyük partiküller kan dolaşımını durdurabilir, pulmoner emboliye neden olabilir.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Filtreli setlerin kullanımı kontaminasvonu da önleyebilir ancak tamamen ortadan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kaldırmaz.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Periferik yolla PN uygulandığında partiküller, infüzyon bölgesinde filebite neden olabilir.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Filtreli setler bu riski azaltabilir.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Hepsi birarada PN formülasyonları için 1,2 mikronluk, lipid içermeyenlerde 0,22 mikronluk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filtreler kullanılabilir.</w:t>
      </w: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İnfüzyon setleri: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solüsyonları ile etkileşime girmesi, nörotoksik, hepatotoksik ve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kardiyotoksik etki riski nedeniyle PN torbaları ve uygulama setleri Diphthalate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içermemelidir.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Etilen vinil asetat (EVA), silikon, polietilen veya poliüretan içeren ürünler kullanılabilir.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infüzyon setleri aseptik teknik kullanılarak değiştirilmelidir.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sistemine eklenen araçların değişimi (iğnesiz araçlar, filtreler vb.) setin herhangi bir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yerinde bütünlüğü bozmayacak şekilde yapılmalıdır.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setleri her 24 saatte bir değiştirilmelidir. Kontaminasyon şüphesi varsa hemen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değiştirilmelidir.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İnfüzyon Pompaları: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Pompaların bakımları ve güvenlik testleri düzenli olarak yapılmalıdır.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İnfüzyon pompası ile PN verilmesi sırasında tüm alarmlara dikkat edilmelidir.</w:t>
      </w: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YEDİNCİ BÖLÜM: STABİLİTE ve GEÇİMLİLİK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Hepsi bir arada karışıma en son lipid eklenmelidir. Elektrolitler ve eser elementler asla doğrudan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lipid emülsiyonlarının içine (dolumdaki başlangıç maddesi olarak veya çok bölmeli torbalarda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lipid bölmesine) karıştırılmamalıdır.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Pulmoner arter embolisi riskini azaltmak amacıyla, lipid emülsiyonunda çapı 6 μm’den büyük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partikül olmamalıdır.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pH 5.0’ın altına düştüğünde lipid emülsiyonunun stabilitesi bozulacağından, bu konuda dikkatli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olunmalıdır.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Çoklu-doymamış esansiyel yağ asitleri peroksidasyonla oksidatif strese ve toksisiteye neden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olabilir. Oksijen, eser elementler, ısı ve güneş ışığına maruziyet ile peroksidasyon önemli ölçüde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artabilir. Tokoferol olumlu etkisi vardır. Daha az hava geçiren çok katlı torba kullanmak, ışıktan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korumak, buzdolabında saklamak, eser elementleri infüzyondan hemen önce ilave etmek,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torbalara kılıf geçirmek ve sarı veya turuncu uygulama setlerini kullanmak ile peroksidasyon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azaltılabilir.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Amino asit solüsyonları, mekanik bariyer, tamponlama kapasitesi ve elektrolitlerin çökelti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oluşumuna karşı koruyucu etki göstermektedirler. Bu nedenle karışıma ilk olarak amino asitler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eklenmelidir.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Çökelti oluşmasını engellemek amacıyla, artı 2 değerlikli katyonlar amino asit solüsyonlarının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içine eklenmelidir.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Kalsiyumun ile fosfatın molar konsantrasyonlarının çarpımı 72’yi (Ca++ mmol/L x P mmol/L &lt;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72) geçiyorsa, inorganik fosfat ve kalsiyum stabilitesi bozulacağından, buna dikkat edilmelidir.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Eğer yüksek miktarlarda kalsiyum ve fosfat alımına gereksinim varsa, organik fosfat tuzları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(glukoz-1-fosfat veya fosfat gliserol gibi) kullanılmalıdır.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Vitaminler hepsi bir arada karışımlara infüzyondan hemen önce ilave edilmelidir.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Uzun tatiller nedeniyle hastaların torbalarını tatil öncesinden hazırlamak zorunda kalan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ünitelerde;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torbaları en fazla altı günlük hazırlanmalıdır.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Hazırlandıktan bir/daha fazla gün sonra verilecek torbalara servislerde yapılacak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eklemelerin, infüzyondan hemen önce ve aseptik kurallara uyularak yapılması gerekir.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İlaçların karışıma ilave edilmesi veya karışımla beraber aynı uygulama setinden verilmesi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sonucu geçimsizlik ve stabilite problemleri görülebilmektedir. Bu nedenle, zorunlu durumlar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dışında (uyumluluk listeleri güncel hazırlanmış olsa bile) aynı setten verilmemelidir.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Dolumu tamamlanan her bir PN torbası, büyük partiküllerin oluşması açısından kuvvetli ışık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altında ve koyu renkli bir zemin üzerinde detaylı bir şekilde değerlendirilmelidir.</w:t>
      </w: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KAYNAKLAR: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Krzywda EA, Andris DA, Edmiston CE, Wallace J. Parenteral Access Devices. In: Gottschlich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MM, Fuhrman MP, Hammond KA, Holcombe BJ, Seidner DL, (editors). </w:t>
      </w:r>
      <w:r w:rsidRPr="00C91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Science And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Practice of Nutrition Support: A Case-Based Core Curriculum.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The American Society for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Parenteral and Enteral Nutrition; Kendall-Hunt Publishing Company, 2001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Pertkiewicz M, Cosslett A, Mühlebach </w:t>
      </w:r>
      <w:r w:rsidRPr="00C91B51">
        <w:rPr>
          <w:rFonts w:ascii="Times New Roman" w:hAnsi="Times New Roman" w:cs="Times New Roman"/>
          <w:color w:val="000065"/>
          <w:sz w:val="24"/>
          <w:szCs w:val="24"/>
        </w:rPr>
        <w:t>S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, Dudrick SJ. Basics in Clinical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utrition: Stability of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Parenteral Nutrition A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dmixtures. e-SPEN, The European e-Journal of Clinical Nutrition and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Metabolism 2009;4: e117–e119.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obotka L, Camilo ME. Basics in Clinical Nutrition: Metabolic Complications of P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arenteral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e-SPEN, The European e-Journal of Clinical Nutrition and Metabolism 2009; 4: e120-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e122.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Pertki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ewicz M, Dudrick SJ. Basics in Clinical Nutrition: Parenteral Nutrition, Ways of D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elivering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Parenteral Nutrition and Peripheral Parenteral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e-SPEN, The European e-Journal of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Clinical Nutrition and Metabolism 2009; 4: e125-e127.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Pertkiewicz M. Basics in Clinical Nutrition: Central Parenteral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e-SPEN, The European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e-Journal of Clinical Nutrition and Metabolism 2009; 4: e128-e133, 2009.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Mühlebach S. Basics in C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linical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Nutrition: Drugs and Nutritional A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dmixtures. e-SPEN, The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European e-Journal of Clinical Nutrition and Metabolism 2009; 4: e134–e136.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Pittiruti M, Hamilton H, Biffi R, MacFie J, Pertkiewicz M. ESPEN Guidelines on Parenteral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Nutrition: Central Venous Cath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eters (Access, Care, Diagnosis and Therapy of C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omplications).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Clinical Nutrition 28:365-377, 2009.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A.S.P.E.N. Statement on Parenteral Nutrition Standardization. A.S.P.E.N. Board of Directors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and Task Force on Parenteral Nutrition Standardization. Journal of Parenteral and 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Nutrition 2007; 31:441–448.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>Safe Practıces for PN: Labelıng Parenteral Nutrıtıon F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>ormulatıons.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Task Force for the Revision of Safe Practice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for Parenteral Nutrition. Safe P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ractices for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Parenteral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JPEN J Parenter Enteral Nutr. 2004; 28S: S48-S52.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>Safe Practıces for PN: Sterıle Compoundıng of Parenteral N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>utrıtıon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ormulatıons.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Task Force for the Revision of Safe Practice for Parenteral Nutrition. Safe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Practices for Parenteral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JPEN J Parenter Enteral Nutr. 2004; 28S: S57-S61.</w:t>
      </w:r>
    </w:p>
    <w:p w:rsidR="0043783C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>Safe Practıces for PN: Stabılıty and Compatıbılıty of P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>arenteral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Nutrıtıon F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ormulatıons.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Task Force for the Revision of Safe Practice for Parenteral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Nutrition. Safe practices for parenteral nutrition. JPEN J Parenter Enteral Nutr. 2004; 28S: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S61-S65.</w:t>
      </w:r>
    </w:p>
    <w:p w:rsidR="00B107F4" w:rsidRPr="00A62ECD" w:rsidRDefault="00B107F4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7F4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502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23A2" w:rsidRPr="005023A2">
        <w:rPr>
          <w:rFonts w:ascii="Times New Roman" w:hAnsi="Times New Roman" w:cs="Times New Roman"/>
          <w:color w:val="000000"/>
          <w:sz w:val="24"/>
          <w:szCs w:val="24"/>
        </w:rPr>
        <w:t>http://www.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kepan.org.tr</w:t>
      </w:r>
      <w:r w:rsidR="005023A2">
        <w:rPr>
          <w:rFonts w:ascii="Times New Roman" w:hAnsi="Times New Roman" w:cs="Times New Roman"/>
          <w:color w:val="000000"/>
          <w:sz w:val="24"/>
          <w:szCs w:val="24"/>
        </w:rPr>
        <w:t xml:space="preserve"> (E</w:t>
      </w:r>
      <w:r w:rsidR="00870DCE">
        <w:rPr>
          <w:rFonts w:ascii="Times New Roman" w:hAnsi="Times New Roman" w:cs="Times New Roman"/>
          <w:color w:val="000000"/>
          <w:sz w:val="24"/>
          <w:szCs w:val="24"/>
        </w:rPr>
        <w:t>rişim</w:t>
      </w:r>
      <w:r w:rsidR="005023A2">
        <w:rPr>
          <w:rFonts w:ascii="Times New Roman" w:hAnsi="Times New Roman" w:cs="Times New Roman"/>
          <w:color w:val="000000"/>
          <w:sz w:val="24"/>
          <w:szCs w:val="24"/>
        </w:rPr>
        <w:t xml:space="preserve"> Tarihi</w:t>
      </w:r>
      <w:r w:rsidR="00870DCE">
        <w:rPr>
          <w:rFonts w:ascii="Times New Roman" w:hAnsi="Times New Roman" w:cs="Times New Roman"/>
          <w:color w:val="000000"/>
          <w:sz w:val="24"/>
          <w:szCs w:val="24"/>
        </w:rPr>
        <w:t>:12.05.2010)</w:t>
      </w:r>
    </w:p>
    <w:sectPr w:rsidR="00B107F4" w:rsidRPr="00A62ECD" w:rsidSect="0043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E2" w:rsidRDefault="00910CE2" w:rsidP="009A394B">
      <w:pPr>
        <w:spacing w:after="0" w:line="240" w:lineRule="auto"/>
      </w:pPr>
      <w:r>
        <w:separator/>
      </w:r>
    </w:p>
  </w:endnote>
  <w:endnote w:type="continuationSeparator" w:id="0">
    <w:p w:rsidR="00910CE2" w:rsidRDefault="00910CE2" w:rsidP="009A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8266"/>
      <w:docPartObj>
        <w:docPartGallery w:val="Page Numbers (Bottom of Page)"/>
        <w:docPartUnique/>
      </w:docPartObj>
    </w:sdtPr>
    <w:sdtEndPr/>
    <w:sdtContent>
      <w:p w:rsidR="00475ABC" w:rsidRDefault="00910CE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ABC" w:rsidRDefault="00475A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E2" w:rsidRDefault="00910CE2" w:rsidP="009A394B">
      <w:pPr>
        <w:spacing w:after="0" w:line="240" w:lineRule="auto"/>
      </w:pPr>
      <w:r>
        <w:separator/>
      </w:r>
    </w:p>
  </w:footnote>
  <w:footnote w:type="continuationSeparator" w:id="0">
    <w:p w:rsidR="00910CE2" w:rsidRDefault="00910CE2" w:rsidP="009A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0AF2"/>
    <w:multiLevelType w:val="hybridMultilevel"/>
    <w:tmpl w:val="600299C8"/>
    <w:lvl w:ilvl="0" w:tplc="29CA8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51"/>
    <w:rsid w:val="000441E7"/>
    <w:rsid w:val="000D36A5"/>
    <w:rsid w:val="00134958"/>
    <w:rsid w:val="0019706B"/>
    <w:rsid w:val="001B7D5A"/>
    <w:rsid w:val="001C4942"/>
    <w:rsid w:val="001E4EB3"/>
    <w:rsid w:val="001F397A"/>
    <w:rsid w:val="00295B0B"/>
    <w:rsid w:val="002A10E8"/>
    <w:rsid w:val="003848D2"/>
    <w:rsid w:val="003C043C"/>
    <w:rsid w:val="0043783C"/>
    <w:rsid w:val="00471016"/>
    <w:rsid w:val="00475ABC"/>
    <w:rsid w:val="004774F8"/>
    <w:rsid w:val="005023A2"/>
    <w:rsid w:val="005405E9"/>
    <w:rsid w:val="00576452"/>
    <w:rsid w:val="00577B51"/>
    <w:rsid w:val="006361BC"/>
    <w:rsid w:val="00733FEF"/>
    <w:rsid w:val="007917E0"/>
    <w:rsid w:val="007E4AA1"/>
    <w:rsid w:val="00800BC2"/>
    <w:rsid w:val="00823664"/>
    <w:rsid w:val="00870DCE"/>
    <w:rsid w:val="00896F33"/>
    <w:rsid w:val="008F05D8"/>
    <w:rsid w:val="00910CE2"/>
    <w:rsid w:val="00922BC5"/>
    <w:rsid w:val="00942A42"/>
    <w:rsid w:val="00964B01"/>
    <w:rsid w:val="009831C7"/>
    <w:rsid w:val="009A394B"/>
    <w:rsid w:val="009C500A"/>
    <w:rsid w:val="009D670C"/>
    <w:rsid w:val="00A07478"/>
    <w:rsid w:val="00A446E1"/>
    <w:rsid w:val="00A62ECD"/>
    <w:rsid w:val="00B107F4"/>
    <w:rsid w:val="00BC3877"/>
    <w:rsid w:val="00C151A4"/>
    <w:rsid w:val="00C43C3E"/>
    <w:rsid w:val="00C71B62"/>
    <w:rsid w:val="00C85176"/>
    <w:rsid w:val="00C91B51"/>
    <w:rsid w:val="00CB1C8A"/>
    <w:rsid w:val="00CC23A9"/>
    <w:rsid w:val="00D2716F"/>
    <w:rsid w:val="00D371CE"/>
    <w:rsid w:val="00D707AA"/>
    <w:rsid w:val="00D94BB0"/>
    <w:rsid w:val="00E15762"/>
    <w:rsid w:val="00E369BD"/>
    <w:rsid w:val="00E4414B"/>
    <w:rsid w:val="00EA6721"/>
    <w:rsid w:val="00FD31B2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C91B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91B5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99"/>
    <w:qFormat/>
    <w:rsid w:val="00C91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47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5ABC"/>
  </w:style>
  <w:style w:type="paragraph" w:styleId="ListeParagraf">
    <w:name w:val="List Paragraph"/>
    <w:basedOn w:val="Normal"/>
    <w:uiPriority w:val="34"/>
    <w:qFormat/>
    <w:rsid w:val="003C0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C91B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91B5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99"/>
    <w:qFormat/>
    <w:rsid w:val="00C91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47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5ABC"/>
  </w:style>
  <w:style w:type="paragraph" w:styleId="ListeParagraf">
    <w:name w:val="List Paragraph"/>
    <w:basedOn w:val="Normal"/>
    <w:uiPriority w:val="34"/>
    <w:qFormat/>
    <w:rsid w:val="003C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7DC8-E252-4D82-A8CD-B39A8CDC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keziban.avci</dc:creator>
  <cp:lastModifiedBy>e</cp:lastModifiedBy>
  <cp:revision>2</cp:revision>
  <cp:lastPrinted>2010-05-28T13:44:00Z</cp:lastPrinted>
  <dcterms:created xsi:type="dcterms:W3CDTF">2018-01-09T12:02:00Z</dcterms:created>
  <dcterms:modified xsi:type="dcterms:W3CDTF">2018-01-09T12:02:00Z</dcterms:modified>
</cp:coreProperties>
</file>